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57" w:after="57"/>
        <w:jc w:val="center"/>
        <w:rPr/>
      </w:pPr>
      <w:r>
        <w:rPr>
          <w:rFonts w:cs="Arial" w:ascii="Verdana" w:hAnsi="Verdana"/>
          <w:b/>
          <w:bCs/>
          <w:smallCaps/>
          <w:color w:val="000000"/>
          <w:sz w:val="20"/>
          <w:szCs w:val="20"/>
        </w:rPr>
        <w:t xml:space="preserve">MINUTA DE EDITAL </w:t>
      </w:r>
    </w:p>
    <w:p>
      <w:pPr>
        <w:pStyle w:val="Normal"/>
        <w:spacing w:lineRule="auto" w:line="240" w:before="0" w:after="0"/>
        <w:jc w:val="center"/>
        <w:rPr>
          <w:rFonts w:ascii="Verdana" w:hAnsi="Verdana"/>
          <w:sz w:val="20"/>
          <w:szCs w:val="20"/>
        </w:rPr>
      </w:pPr>
      <w:r>
        <w:rPr>
          <w:rFonts w:ascii="Verdana" w:hAnsi="Verdana"/>
          <w:sz w:val="20"/>
          <w:szCs w:val="20"/>
        </w:rPr>
      </w:r>
    </w:p>
    <w:p>
      <w:pPr>
        <w:pStyle w:val="Normal"/>
        <w:spacing w:lineRule="auto" w:line="240" w:before="57" w:after="57"/>
        <w:jc w:val="center"/>
        <w:rPr/>
      </w:pPr>
      <w:r>
        <w:rPr>
          <w:rFonts w:cs="Arial" w:ascii="Verdana" w:hAnsi="Verdana"/>
          <w:b/>
          <w:bCs/>
          <w:smallCaps/>
          <w:color w:val="000000"/>
          <w:sz w:val="20"/>
          <w:szCs w:val="20"/>
        </w:rPr>
        <w:t>PREGÃO ELETRÔNICO Nº 055/2025</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before="57" w:after="57"/>
        <w:jc w:val="center"/>
        <w:rPr/>
      </w:pPr>
      <w:r>
        <w:rPr>
          <w:rFonts w:cs="Arial" w:ascii="Verdana" w:hAnsi="Verdana"/>
          <w:b/>
          <w:smallCaps/>
          <w:color w:val="000000"/>
          <w:sz w:val="20"/>
          <w:szCs w:val="20"/>
        </w:rPr>
        <w:t>(Processo Administrativo n° 2868/2025 de 14/04/2025)</w:t>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before="57" w:after="57"/>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19/09</w:t>
      </w:r>
      <w:r>
        <w:rPr>
          <w:rFonts w:cs="Arial" w:ascii="Verdana" w:hAnsi="Verdana"/>
          <w:b/>
          <w:bCs/>
          <w:color w:val="000000"/>
          <w:sz w:val="20"/>
          <w:szCs w:val="20"/>
        </w:rPr>
        <w:t>/2025.</w:t>
      </w:r>
    </w:p>
    <w:p>
      <w:pPr>
        <w:pStyle w:val="Normal"/>
        <w:spacing w:lineRule="auto" w:line="240" w:before="57" w:after="57"/>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40" w:before="57" w:after="57"/>
        <w:rPr/>
      </w:pPr>
      <w:r>
        <w:rPr>
          <w:rFonts w:cs="Arial" w:ascii="Verdana" w:hAnsi="Verdana"/>
          <w:b/>
          <w:bCs/>
          <w:color w:val="000000"/>
          <w:sz w:val="20"/>
          <w:szCs w:val="20"/>
        </w:rPr>
        <w:t>Local:</w:t>
      </w:r>
      <w:r>
        <w:rPr>
          <w:rFonts w:cs="Arial" w:ascii="Verdana" w:hAnsi="Verdana"/>
          <w:color w:val="000000"/>
          <w:sz w:val="20"/>
          <w:szCs w:val="20"/>
        </w:rPr>
        <w:t xml:space="preserve"> Portal de Compras Públicas – </w:t>
      </w:r>
      <w:bookmarkStart w:id="0" w:name="_Hlk123138684"/>
      <w:r>
        <w:rPr>
          <w:rFonts w:cs="Arial" w:ascii="Verdana" w:hAnsi="Verdana"/>
          <w:b/>
          <w:bCs/>
          <w:color w:val="000000"/>
          <w:sz w:val="20"/>
          <w:szCs w:val="20"/>
        </w:rPr>
        <w:t>www.portaldecompraspublicas.com.br</w:t>
      </w:r>
      <w:bookmarkEnd w:id="0"/>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sz w:val="20"/>
          <w:szCs w:val="20"/>
        </w:rPr>
        <w:t>DO OBJETO</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1.1 O objeto da presente licitação é a </w:t>
      </w:r>
      <w:r>
        <w:rPr>
          <w:rFonts w:eastAsia="Arial" w:cs="Arial" w:ascii="Verdana" w:hAnsi="Verdana"/>
          <w:sz w:val="20"/>
          <w:szCs w:val="20"/>
        </w:rPr>
        <w:t>Contratação de empresa especializada na prestação de serviços de arbitragem para o campeonato municipal de futebol amador masculino, a ser realizado ao longo do exercício de 2025, nesse município</w:t>
      </w:r>
      <w:r>
        <w:rPr>
          <w:rFonts w:eastAsia="Batang;바탕" w:cs="Arial" w:ascii="Verdana" w:hAnsi="Verdana"/>
          <w:color w:val="000000"/>
          <w:kern w:val="2"/>
          <w:sz w:val="20"/>
          <w:szCs w:val="20"/>
          <w:lang w:eastAsia="en-US" w:bidi="pt-BR"/>
        </w:rPr>
        <w:t>, em atendimento as necessidades da Secretaria Municipal de Esporte e Lazer, de acordo com os critérios e condições estabelecidas no Termo de Referência, edital e seus anexos.</w:t>
      </w:r>
    </w:p>
    <w:p>
      <w:pPr>
        <w:pStyle w:val="Normal"/>
        <w:spacing w:lineRule="auto" w:line="240" w:before="57" w:after="57"/>
        <w:ind w:hanging="0" w:right="0"/>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before="57" w:after="57"/>
        <w:ind w:hanging="0" w:left="0" w:right="0"/>
        <w:jc w:val="both"/>
        <w:rPr/>
      </w:pPr>
      <w:r>
        <w:rPr>
          <w:rFonts w:cs="Arial" w:ascii="Verdana" w:hAnsi="Verdana"/>
          <w:b w:val="false"/>
          <w:bCs w:val="false"/>
          <w:iCs/>
          <w:color w:val="000000"/>
          <w:sz w:val="20"/>
          <w:szCs w:val="20"/>
          <w:shd w:fill="FFFF00" w:val="clear"/>
        </w:rPr>
        <w:t>1.3.</w:t>
      </w:r>
      <w:r>
        <w:rPr>
          <w:rFonts w:cs="Arial" w:ascii="Verdana" w:hAnsi="Verdana"/>
          <w:b/>
          <w:bCs/>
          <w:iCs/>
          <w:color w:val="000000"/>
          <w:sz w:val="20"/>
          <w:szCs w:val="20"/>
        </w:rPr>
        <w:t xml:space="preserve"> </w:t>
      </w:r>
      <w:r>
        <w:rPr>
          <w:rFonts w:cs="Arial" w:ascii="Verdana" w:hAnsi="Verdana"/>
          <w:b/>
          <w:bCs/>
          <w:iCs/>
          <w:color w:val="000000"/>
          <w:sz w:val="20"/>
          <w:szCs w:val="20"/>
          <w:shd w:fill="FFFF00" w:val="clear"/>
        </w:rPr>
        <w:t>A presente licitação será Exclusiva para ME e EPP.</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sz w:val="20"/>
          <w:szCs w:val="20"/>
        </w:rPr>
        <w:t>DOS RECURSOS ORÇAMENTÁRIOS</w:t>
      </w:r>
    </w:p>
    <w:p>
      <w:pPr>
        <w:pStyle w:val="Normal"/>
        <w:spacing w:lineRule="auto" w:line="240" w:before="57" w:after="57"/>
        <w:ind w:hanging="0" w:right="0"/>
        <w:jc w:val="both"/>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40" w:before="57" w:after="57"/>
        <w:ind w:hanging="0" w:right="0"/>
        <w:jc w:val="both"/>
        <w:rPr/>
      </w:pPr>
      <w:r>
        <w:rPr>
          <w:rFonts w:cs="Times New Roman" w:ascii="Verdana" w:hAnsi="Verdana"/>
          <w:b/>
          <w:bCs/>
          <w:sz w:val="20"/>
          <w:szCs w:val="20"/>
          <w:lang w:eastAsia="ar-SA"/>
        </w:rPr>
        <w:t xml:space="preserve"> – </w:t>
      </w:r>
      <w:r>
        <w:rPr>
          <w:rFonts w:cs="Times New Roman" w:ascii="Verdana" w:hAnsi="Verdana"/>
          <w:b/>
          <w:bCs/>
          <w:sz w:val="20"/>
          <w:szCs w:val="20"/>
          <w:lang w:eastAsia="ar-SA"/>
        </w:rPr>
        <w:t>Secretaria Municipal de Esporte e Lazer</w:t>
      </w:r>
    </w:p>
    <w:p>
      <w:pPr>
        <w:pStyle w:val="Normal"/>
        <w:spacing w:lineRule="auto" w:line="240" w:before="57" w:after="57"/>
        <w:ind w:hanging="0" w:right="0"/>
        <w:jc w:val="both"/>
        <w:rPr/>
      </w:pPr>
      <w:r>
        <w:rPr>
          <w:rFonts w:cs="Times New Roman" w:ascii="Verdana" w:hAnsi="Verdana"/>
          <w:color w:val="000000"/>
          <w:sz w:val="20"/>
          <w:szCs w:val="20"/>
          <w:lang w:eastAsia="ar-SA"/>
        </w:rPr>
        <w:t>Ficha/Fonte: 00335 - 150000000000 – Recursos Não Vinculados de Impostos e Transferências de Impostos.</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sz w:val="20"/>
          <w:szCs w:val="20"/>
        </w:rPr>
        <w:t>DO CREDENCIAMENTO</w:t>
      </w:r>
    </w:p>
    <w:p>
      <w:pPr>
        <w:pStyle w:val="Default"/>
        <w:spacing w:lineRule="auto" w:line="240" w:before="57" w:after="57"/>
        <w:ind w:hanging="0" w:right="0"/>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57" w:after="57"/>
        <w:ind w:hanging="0" w:right="0"/>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57" w:after="57"/>
        <w:ind w:hanging="0" w:right="0"/>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57" w:after="57"/>
        <w:ind w:hanging="0" w:right="0"/>
        <w:jc w:val="both"/>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lineRule="auto" w:line="240" w:before="57" w:after="57"/>
        <w:ind w:hanging="0" w:right="0"/>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57" w:after="57"/>
        <w:ind w:hanging="0" w:right="0"/>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sz w:val="20"/>
          <w:szCs w:val="20"/>
        </w:rPr>
        <w:t>DA PARTICIPAÇÃO NO PREGÃO.</w:t>
      </w:r>
    </w:p>
    <w:p>
      <w:pPr>
        <w:pStyle w:val="Normal"/>
        <w:spacing w:lineRule="auto" w:line="240" w:before="57" w:after="57"/>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pPr>
      <w:r>
        <w:rPr>
          <w:rFonts w:cs="Arial" w:ascii="Verdana" w:hAnsi="Verdana"/>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57" w:after="57"/>
        <w:jc w:val="both"/>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2025,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40" w:before="57" w:after="57"/>
        <w:jc w:val="both"/>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40" w:before="57" w:after="57"/>
        <w:jc w:val="both"/>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40"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40" w:before="57" w:after="57"/>
        <w:jc w:val="both"/>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57" w:after="57"/>
        <w:ind w:hanging="0" w:left="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57" w:after="57"/>
        <w:ind w:hanging="0" w:left="0"/>
        <w:rPr/>
      </w:pPr>
      <w:bookmarkStart w:id="6" w:name="art14§2"/>
      <w:bookmarkEnd w:id="6"/>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57" w:after="57"/>
        <w:ind w:hanging="0" w:left="0"/>
        <w:rPr/>
      </w:pPr>
      <w:bookmarkStart w:id="7" w:name="art14§3"/>
      <w:bookmarkEnd w:id="7"/>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57" w:after="57"/>
        <w:ind w:hanging="0" w:left="0"/>
        <w:rPr/>
      </w:pPr>
      <w:bookmarkStart w:id="8" w:name="art14§4"/>
      <w:bookmarkEnd w:id="8"/>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57" w:after="57"/>
        <w:ind w:hanging="0" w:left="0"/>
        <w:rPr/>
      </w:pPr>
      <w:bookmarkStart w:id="9" w:name="art14§5"/>
      <w:bookmarkEnd w:id="9"/>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57" w:after="57"/>
        <w:ind w:hanging="0" w:left="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sz w:val="20"/>
          <w:szCs w:val="20"/>
        </w:rPr>
        <w:t>DA APRESENTAÇÃO DA PROPOSTA E DOS DOCUMENTOS DE HABILITAÇÃO</w:t>
      </w:r>
    </w:p>
    <w:p>
      <w:pPr>
        <w:pStyle w:val="Normal"/>
        <w:numPr>
          <w:ilvl w:val="1"/>
          <w:numId w:val="13"/>
        </w:numPr>
        <w:tabs>
          <w:tab w:val="clear" w:pos="720"/>
          <w:tab w:val="left" w:pos="450" w:leader="none"/>
          <w:tab w:val="left" w:pos="1450" w:leader="none"/>
        </w:tabs>
        <w:spacing w:lineRule="auto" w:line="240" w:before="57" w:after="57"/>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20"/>
          <w:tab w:val="left" w:pos="450" w:leader="none"/>
        </w:tabs>
        <w:spacing w:lineRule="auto" w:line="240"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20"/>
          <w:tab w:val="left" w:pos="450" w:leader="none"/>
        </w:tabs>
        <w:spacing w:lineRule="auto" w:line="240"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20"/>
          <w:tab w:val="left" w:pos="450" w:leader="none"/>
        </w:tabs>
        <w:spacing w:lineRule="auto" w:line="240"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20"/>
          <w:tab w:val="left" w:pos="450" w:leader="none"/>
        </w:tabs>
        <w:spacing w:lineRule="auto" w:line="240"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20"/>
          <w:tab w:val="left" w:pos="450" w:leader="none"/>
        </w:tabs>
        <w:spacing w:lineRule="auto" w:line="240"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20"/>
          <w:tab w:val="left" w:pos="450" w:leader="none"/>
        </w:tabs>
        <w:spacing w:lineRule="auto" w:line="240"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20"/>
          <w:tab w:val="left" w:pos="450" w:leader="none"/>
        </w:tabs>
        <w:spacing w:lineRule="auto" w:line="240"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40" w:before="57" w:after="57"/>
        <w:ind w:hanging="0" w:left="0"/>
        <w:jc w:val="both"/>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40" w:before="57" w:after="57"/>
        <w:jc w:val="both"/>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40" w:before="57" w:after="57"/>
        <w:jc w:val="both"/>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40" w:before="57" w:after="57"/>
        <w:jc w:val="both"/>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57" w:after="57"/>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hanging="0"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before="57" w:after="57"/>
        <w:jc w:val="both"/>
        <w:rPr/>
      </w:pPr>
      <w:r>
        <w:rPr>
          <w:rFonts w:cs="Arial" w:ascii="Verdana" w:hAnsi="Verdana"/>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before="57" w:after="57"/>
        <w:jc w:val="both"/>
        <w:rPr/>
      </w:pPr>
      <w:r>
        <w:rPr>
          <w:rFonts w:ascii="Verdana" w:hAnsi="Verdana"/>
          <w:sz w:val="20"/>
          <w:szCs w:val="20"/>
        </w:rPr>
        <w:t xml:space="preserve">7.11 </w:t>
      </w:r>
      <w:bookmarkStart w:id="10"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0"/>
    </w:p>
    <w:p>
      <w:pPr>
        <w:pStyle w:val="Default"/>
        <w:spacing w:lineRule="auto" w:line="240" w:before="57" w:after="57"/>
        <w:jc w:val="both"/>
        <w:rPr/>
      </w:pPr>
      <w:r>
        <w:rPr>
          <w:rFonts w:ascii="Verdana" w:hAnsi="Verdana"/>
          <w:sz w:val="20"/>
          <w:szCs w:val="20"/>
        </w:rPr>
        <w:t xml:space="preserve">7.12 </w:t>
      </w:r>
      <w:bookmarkStart w:id="11"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1"/>
    </w:p>
    <w:p>
      <w:pPr>
        <w:pStyle w:val="Default"/>
        <w:spacing w:lineRule="auto" w:line="240" w:before="57" w:after="57"/>
        <w:jc w:val="both"/>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before="57" w:after="57"/>
        <w:jc w:val="both"/>
        <w:rPr/>
      </w:pPr>
      <w:r>
        <w:rPr>
          <w:rFonts w:ascii="Verdana" w:hAnsi="Verdana"/>
          <w:sz w:val="20"/>
          <w:szCs w:val="20"/>
        </w:rPr>
        <w:t>7.14 Após o reinício previsto no item supra, os licitantes serão convocados para apresentar lances intermediários.</w:t>
      </w:r>
    </w:p>
    <w:p>
      <w:pPr>
        <w:pStyle w:val="Normal"/>
        <w:spacing w:lineRule="auto" w:line="240" w:before="57" w:after="57"/>
        <w:jc w:val="both"/>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40" w:before="57" w:after="57"/>
        <w:jc w:val="both"/>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40" w:before="57" w:after="57"/>
        <w:jc w:val="both"/>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40" w:before="57" w:after="57"/>
        <w:jc w:val="both"/>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40" w:before="57" w:after="57"/>
        <w:jc w:val="both"/>
        <w:rPr/>
      </w:pPr>
      <w:r>
        <w:rPr>
          <w:rFonts w:cs="Arial" w:ascii="Verdana" w:hAnsi="Verdana"/>
          <w:color w:val="000000"/>
          <w:sz w:val="20"/>
          <w:szCs w:val="20"/>
        </w:rPr>
        <w:t>7.21 Caso o licitante não apresente lances, concorrerá com o valor de sua proposta.</w:t>
      </w:r>
    </w:p>
    <w:p>
      <w:pPr>
        <w:pStyle w:val="Normal"/>
        <w:spacing w:lineRule="auto" w:line="240" w:before="57" w:after="57"/>
        <w:jc w:val="both"/>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40" w:before="57" w:after="57"/>
        <w:jc w:val="both"/>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pPr>
      <w:r>
        <w:rPr>
          <w:rFonts w:cs="Arial" w:ascii="Verdana" w:hAnsi="Verdana"/>
          <w:color w:val="000000"/>
          <w:sz w:val="20"/>
          <w:szCs w:val="20"/>
          <w:lang w:eastAsia="en-US"/>
        </w:rPr>
        <w:t>7.28.3 Por empresas brasileiras;</w:t>
      </w:r>
    </w:p>
    <w:p>
      <w:pPr>
        <w:pStyle w:val="Normal"/>
        <w:spacing w:lineRule="auto" w:line="240" w:before="57" w:after="57"/>
        <w:jc w:val="both"/>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hanging="0" w:left="0"/>
        <w:contextualSpacing w:val="false"/>
        <w:jc w:val="both"/>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20"/>
          <w:tab w:val="left" w:pos="-12" w:leader="none"/>
        </w:tabs>
        <w:spacing w:lineRule="auto" w:line="240" w:before="57" w:after="57"/>
        <w:ind w:hanging="0" w:left="0"/>
        <w:contextualSpacing w:val="false"/>
        <w:jc w:val="both"/>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40" w:before="57" w:after="57"/>
        <w:ind w:hanging="0" w:left="0"/>
        <w:contextualSpacing w:val="false"/>
        <w:jc w:val="both"/>
        <w:rPr/>
      </w:pPr>
      <w:bookmarkStart w:id="12" w:name="_Hlk169708956"/>
      <w:r>
        <w:rPr>
          <w:rFonts w:cs="Arial" w:ascii="Verdana" w:hAnsi="Verdana"/>
          <w:color w:val="000000"/>
          <w:sz w:val="20"/>
          <w:szCs w:val="20"/>
        </w:rPr>
        <w:t>7.31 Após a negociação do preço, o Pregoeiro iniciará a fase de aceitação e julgamento da proposta.</w:t>
      </w:r>
      <w:bookmarkEnd w:id="12"/>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40" w:before="57" w:after="57"/>
        <w:ind w:hanging="0" w:left="0"/>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240" w:before="57" w:after="57"/>
        <w:ind w:hanging="0" w:left="0"/>
        <w:contextualSpacing w:val="false"/>
        <w:jc w:val="both"/>
        <w:rPr/>
      </w:pPr>
      <w:bookmarkStart w:id="13"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2"/>
          <w:sz w:val="20"/>
          <w:u w:val="single"/>
          <w:szCs w:val="20"/>
          <w:rFonts w:cs="Arial" w:ascii="Verdana" w:hAnsi="Verdana"/>
          <w:color w:val="000080"/>
        </w:rPr>
        <w:instrText xml:space="preserve"> HYPERLINK "http://www.planalto.gov.br/ccivil_03/_ato2019-2022/2021/lei/L14133.htm" \l "art14"</w:instrText>
      </w:r>
      <w:r>
        <w:rPr>
          <w:rStyle w:val="ListLabel182"/>
          <w:sz w:val="20"/>
          <w:u w:val="single"/>
          <w:szCs w:val="20"/>
          <w:rFonts w:cs="Arial" w:ascii="Verdana" w:hAnsi="Verdana"/>
          <w:color w:val="000080"/>
        </w:rPr>
        <w:fldChar w:fldCharType="separate"/>
      </w:r>
      <w:r>
        <w:rPr>
          <w:rStyle w:val="ListLabel182"/>
          <w:rFonts w:cs="Arial" w:ascii="Verdana" w:hAnsi="Verdana"/>
          <w:color w:val="000080"/>
          <w:sz w:val="20"/>
          <w:szCs w:val="20"/>
          <w:u w:val="single"/>
        </w:rPr>
        <w:t>art. 14 da Lei nº 14.133/2021</w:t>
      </w:r>
      <w:r>
        <w:rPr>
          <w:rStyle w:val="ListLabel18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4.3.12 do edital, </w:t>
      </w:r>
      <w:bookmarkEnd w:id="13"/>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2"/>
          <w:sz w:val="20"/>
          <w:u w:val="single"/>
          <w:szCs w:val="20"/>
          <w:rFonts w:cs="Arial" w:ascii="Verdana" w:hAnsi="Verdana"/>
          <w:color w:val="000080"/>
        </w:rPr>
        <w:fldChar w:fldCharType="separate"/>
      </w:r>
      <w:r>
        <w:rPr>
          <w:rStyle w:val="ListLabel182"/>
          <w:rFonts w:cs="Arial" w:ascii="Verdana" w:hAnsi="Verdana"/>
          <w:color w:val="000080"/>
          <w:sz w:val="20"/>
          <w:szCs w:val="20"/>
          <w:u w:val="single"/>
        </w:rPr>
        <w:t>artigo 29 a 35 da IN SEGES nº 73, de 30 de setembro de 2022</w:t>
      </w:r>
      <w:r>
        <w:rPr>
          <w:rStyle w:val="ListLabel18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40" w:before="57" w:after="57"/>
        <w:jc w:val="both"/>
        <w:rPr/>
      </w:pPr>
      <w:r>
        <w:rPr>
          <w:rFonts w:ascii="Verdana" w:hAnsi="Verdana"/>
          <w:sz w:val="20"/>
          <w:szCs w:val="20"/>
        </w:rPr>
        <w:t>8.4.2 contenha vício insanável ou ilegalidade;</w:t>
      </w:r>
    </w:p>
    <w:p>
      <w:pPr>
        <w:pStyle w:val="Normal"/>
        <w:tabs>
          <w:tab w:val="clear" w:pos="720"/>
          <w:tab w:val="left" w:pos="517" w:leader="none"/>
        </w:tabs>
        <w:spacing w:lineRule="auto" w:line="240" w:before="57" w:after="57"/>
        <w:jc w:val="both"/>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40" w:before="57" w:after="57"/>
        <w:jc w:val="both"/>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40" w:before="57" w:after="57"/>
        <w:jc w:val="both"/>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40" w:before="57" w:after="57"/>
        <w:jc w:val="both"/>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40" w:before="57" w:after="57"/>
        <w:ind w:hanging="0" w:left="0"/>
        <w:jc w:val="both"/>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40" w:before="57" w:after="57"/>
        <w:ind w:hanging="0" w:left="0"/>
        <w:jc w:val="both"/>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40" w:before="57" w:after="57"/>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40" w:before="57" w:after="57"/>
        <w:ind w:hanging="0" w:left="0"/>
        <w:jc w:val="both"/>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pPr>
      <w:r>
        <w:rPr>
          <w:rFonts w:ascii="Verdana" w:hAnsi="Verdana"/>
          <w:sz w:val="20"/>
          <w:szCs w:val="20"/>
        </w:rPr>
        <w:t>8.9.1 As propostas com preços próximos ou inferiores ao mínimo estabelecido pela Prefeitura Municipal de São Gabriel da Palha, disponibilizado em meio eletrônico, no Portal de Compras Públicas (http://</w:t>
      </w:r>
      <w:bookmarkStart w:id="14" w:name="_Hlk123138684_Copia_2"/>
      <w:r>
        <w:rPr>
          <w:rFonts w:cs="Arial" w:ascii="Verdana" w:hAnsi="Verdana"/>
          <w:color w:val="000000"/>
          <w:sz w:val="20"/>
          <w:szCs w:val="20"/>
        </w:rPr>
        <w:t>www.portaldecompraspublicas.com.br</w:t>
      </w:r>
      <w:bookmarkEnd w:id="14"/>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8.11.1 É facultado ao pregoeiro prorrogar o prazo estabelecido, a partir de solicitação fundamentada feita no chat pelo licitante, antes de findo o prazo.</w:t>
      </w:r>
    </w:p>
    <w:p>
      <w:pPr>
        <w:pStyle w:val="ListParagraph"/>
        <w:spacing w:lineRule="auto" w:line="240" w:before="57" w:after="57"/>
        <w:ind w:hanging="0" w:left="0"/>
        <w:contextualSpacing w:val="false"/>
        <w:jc w:val="both"/>
        <w:rPr/>
      </w:pPr>
      <w:r>
        <w:rPr>
          <w:rFonts w:cs="Arial" w:ascii="Verdana" w:hAnsi="Verdana"/>
          <w:sz w:val="20"/>
          <w:szCs w:val="20"/>
          <w:lang w:eastAsia="en-US"/>
        </w:rPr>
        <w:t>8.11.2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sz w:val="20"/>
          <w:szCs w:val="20"/>
        </w:rPr>
        <w:t xml:space="preserve"> </w:t>
      </w: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57" w:after="57"/>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contextualSpacing w:val="false"/>
        <w:jc w:val="both"/>
        <w:rPr/>
      </w:pPr>
      <w:r>
        <w:rPr>
          <w:rFonts w:cs="Arial" w:ascii="Verdana" w:hAnsi="Verdana"/>
          <w:sz w:val="20"/>
          <w:szCs w:val="20"/>
          <w:lang w:eastAsia="ar-SA"/>
        </w:rPr>
        <w:t>a) SICAF;</w:t>
      </w:r>
    </w:p>
    <w:p>
      <w:pPr>
        <w:pStyle w:val="ListParagraph"/>
        <w:spacing w:lineRule="auto" w:line="240"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2">
        <w:r>
          <w:rPr>
            <w:rStyle w:val="ListLabel18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ListLabel18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ListLabel18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ListLabel18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hanging="0" w:left="0"/>
        <w:contextualSpacing w:val="false"/>
        <w:jc w:val="both"/>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ListLabel18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lineRule="auto" w:line="240" w:before="57" w:after="57"/>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67 da Lei Federal nº 14.133/2021 não precisam constar em todas as licitações, devendo o gestor público, diante de seu poder discricionário e da complexidade do objeto, indicar e justificar tecnicamente as exigências fixadas no edital.</w:t>
      </w:r>
    </w:p>
    <w:p>
      <w:pPr>
        <w:pStyle w:val="Normal"/>
        <w:tabs>
          <w:tab w:val="clear" w:pos="720"/>
          <w:tab w:val="left" w:pos="850" w:leader="none"/>
        </w:tabs>
        <w:snapToGrid w:val="false"/>
        <w:spacing w:lineRule="auto" w:line="240" w:before="57" w:after="57"/>
        <w:jc w:val="both"/>
        <w:rPr/>
      </w:pPr>
      <w:r>
        <w:rPr>
          <w:rFonts w:cs="Arial" w:ascii="Verdana" w:hAnsi="Verdana"/>
          <w:color w:val="000000"/>
          <w:sz w:val="20"/>
          <w:szCs w:val="20"/>
        </w:rPr>
        <w:t xml:space="preserve">a) Comprovação de aptidão para desempenho de atividade pertinente e compatível com o objeto desta </w:t>
      </w:r>
      <w:r>
        <w:rPr>
          <w:rFonts w:eastAsia="Times New Roman" w:cs="Times New Roman" w:ascii="Verdana" w:hAnsi="Verdana"/>
          <w:color w:val="000000"/>
          <w:sz w:val="20"/>
          <w:szCs w:val="20"/>
          <w:lang w:eastAsia="zh-CN"/>
        </w:rPr>
        <w:t>aquisição</w:t>
      </w:r>
      <w:r>
        <w:rPr>
          <w:rFonts w:cs="Arial" w:ascii="Verdana" w:hAnsi="Verdana"/>
          <w:color w:val="000000"/>
          <w:sz w:val="20"/>
          <w:szCs w:val="20"/>
        </w:rPr>
        <w:t>.</w:t>
      </w:r>
    </w:p>
    <w:p>
      <w:pPr>
        <w:pStyle w:val="Normal"/>
        <w:tabs>
          <w:tab w:val="clear" w:pos="720"/>
          <w:tab w:val="left" w:pos="426" w:leader="none"/>
        </w:tabs>
        <w:snapToGrid w:val="false"/>
        <w:spacing w:lineRule="auto" w:line="240" w:before="57" w:after="57"/>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0"/>
          <w:numId w:val="0"/>
        </w:numPr>
        <w:tabs>
          <w:tab w:val="clear" w:pos="720"/>
          <w:tab w:val="left" w:pos="617" w:leader="none"/>
        </w:tabs>
        <w:snapToGrid w:val="false"/>
        <w:spacing w:lineRule="auto" w:line="240" w:before="57" w:after="57"/>
        <w:ind w:hanging="0" w:left="0"/>
        <w:contextualSpacing w:val="false"/>
        <w:jc w:val="both"/>
        <w:rPr/>
      </w:pPr>
      <w:r>
        <w:rPr>
          <w:rFonts w:cs="Arial" w:ascii="Verdana" w:hAnsi="Verdana"/>
          <w:bCs/>
          <w:sz w:val="20"/>
          <w:szCs w:val="20"/>
        </w:rPr>
        <w:t>9.12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0"/>
          <w:numId w:val="0"/>
        </w:numPr>
        <w:tabs>
          <w:tab w:val="clear" w:pos="720"/>
          <w:tab w:val="left" w:pos="617" w:leader="none"/>
        </w:tabs>
        <w:snapToGrid w:val="false"/>
        <w:spacing w:lineRule="auto" w:line="240" w:before="57" w:after="57"/>
        <w:ind w:hanging="0" w:left="0"/>
        <w:contextualSpacing w:val="false"/>
        <w:jc w:val="both"/>
        <w:rPr/>
      </w:pPr>
      <w:r>
        <w:rPr>
          <w:rFonts w:cs="Arial" w:ascii="Verdana" w:hAnsi="Verdana"/>
          <w:bCs/>
          <w:color w:val="000000"/>
          <w:sz w:val="20"/>
          <w:szCs w:val="20"/>
        </w:rPr>
        <w:t>9.13 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0"/>
          <w:numId w:val="0"/>
        </w:numPr>
        <w:tabs>
          <w:tab w:val="clear" w:pos="720"/>
          <w:tab w:val="left" w:pos="850" w:leader="none"/>
        </w:tabs>
        <w:spacing w:lineRule="auto" w:line="240" w:before="57" w:after="57"/>
        <w:ind w:hanging="0" w:left="0"/>
        <w:contextualSpacing w:val="false"/>
        <w:jc w:val="both"/>
        <w:rPr/>
      </w:pPr>
      <w:r>
        <w:rPr>
          <w:rFonts w:cs="Arial" w:ascii="Verdana" w:hAnsi="Verdana"/>
          <w:b w:val="false"/>
          <w:bCs w:val="false"/>
          <w:i w:val="false"/>
          <w:iCs w:val="false"/>
          <w:color w:val="000000"/>
          <w:sz w:val="20"/>
          <w:szCs w:val="20"/>
        </w:rPr>
        <w:t>9.13.1</w:t>
      </w:r>
      <w:r>
        <w:rPr>
          <w:rFonts w:cs="Arial" w:ascii="Verdana" w:hAnsi="Verdana"/>
          <w:bCs/>
          <w:color w:val="000000"/>
          <w:sz w:val="20"/>
          <w:szCs w:val="20"/>
        </w:rPr>
        <w:t xml:space="preserve"> A declaração do vencedor acontecerá no momento imediatamente posterior à fase de habilitação.</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bCs/>
          <w:sz w:val="20"/>
          <w:szCs w:val="20"/>
        </w:rPr>
        <w:t xml:space="preserve">9.14 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bCs/>
          <w:color w:val="000000"/>
          <w:sz w:val="20"/>
          <w:szCs w:val="20"/>
        </w:rPr>
        <w:t>9.15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9.16 Havendo necessidade de analisar minuciosamente os documentos exigidos, o Pregoeiro suspenderá a sessão, informando no “chat” a nova data e horário para a continuidade da mesma.</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9.17 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Normal"/>
        <w:spacing w:lineRule="auto" w:line="240" w:before="57" w:after="57"/>
        <w:jc w:val="both"/>
        <w:rPr/>
      </w:pPr>
      <w:r>
        <w:rPr>
          <w:rFonts w:cs="Arial" w:ascii="Verdana" w:hAnsi="Verdana"/>
          <w:color w:val="000000"/>
          <w:sz w:val="20"/>
          <w:szCs w:val="20"/>
        </w:rPr>
        <w:t>9.18 Constatado o atendimento às exigências de habilitação fixadas no Edital, o licitante será declarado vencedor.</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20"/>
          <w:tab w:val="left" w:pos="617" w:leader="none"/>
        </w:tabs>
        <w:spacing w:lineRule="auto" w:line="240" w:before="57" w:after="57"/>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40" w:before="57" w:after="57"/>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40" w:before="57" w:after="57"/>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40"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40" w:before="57" w:after="57"/>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40" w:before="57" w:after="57"/>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sz w:val="20"/>
          <w:szCs w:val="20"/>
          <w:lang w:eastAsia="en-US"/>
        </w:rPr>
        <w:t>DOS RECURSOS</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57" w:after="57"/>
        <w:ind w:hanging="0" w:left="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57" w:after="57"/>
        <w:ind w:hanging="0" w:left="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spacing w:lineRule="auto" w:line="240"/>
        <w:jc w:val="center"/>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sz w:val="20"/>
          <w:szCs w:val="20"/>
        </w:rPr>
        <w:t xml:space="preserve">DA ADJUDICAÇÃO E HOMOLOGAÇÃO </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40"/>
        <w:jc w:val="center"/>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b/>
          <w:bCs/>
          <w:sz w:val="20"/>
          <w:szCs w:val="20"/>
        </w:rPr>
        <w:t>14 DO TERMO DE CONTRATO</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iCs/>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240" w:before="57" w:after="57"/>
        <w:ind w:hanging="0" w:left="0"/>
        <w:contextualSpacing w:val="false"/>
        <w:jc w:val="both"/>
        <w:rPr/>
      </w:pPr>
      <w:r>
        <w:rPr>
          <w:rFonts w:cs="Arial" w:ascii="Verdana" w:hAnsi="Verdana"/>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240"/>
        <w:jc w:val="center"/>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sz w:val="20"/>
          <w:szCs w:val="20"/>
        </w:rPr>
        <w:t>15. DO REAJUSTAMENTO EM SENTIDO GERAL</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40"/>
        <w:jc w:val="center"/>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sz w:val="20"/>
          <w:szCs w:val="20"/>
        </w:rPr>
        <w:t>16. DA ACEITAÇÃO DO OBJETO E DA FISCALIZAÇÃO</w:t>
      </w:r>
    </w:p>
    <w:p>
      <w:pPr>
        <w:pStyle w:val="ListParagraph"/>
        <w:spacing w:lineRule="auto" w:line="240" w:before="57" w:after="57"/>
        <w:ind w:hanging="0"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Normal"/>
        <w:spacing w:lineRule="auto" w:line="240"/>
        <w:jc w:val="center"/>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sz w:val="20"/>
          <w:szCs w:val="20"/>
          <w:lang w:eastAsia="en-US"/>
        </w:rPr>
        <w:t>17. DAS OBRIGAÇÕES DA CONTRATANTE E DA CONTRATADA</w:t>
      </w:r>
    </w:p>
    <w:p>
      <w:pPr>
        <w:pStyle w:val="ListParagraph"/>
        <w:spacing w:lineRule="auto" w:line="240" w:before="57" w:after="57"/>
        <w:ind w:hanging="0" w:left="0"/>
        <w:contextualSpacing w:val="false"/>
        <w:jc w:val="both"/>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40"/>
        <w:jc w:val="center"/>
        <w:rPr>
          <w:rFonts w:ascii="Verdana" w:hAnsi="Verdana"/>
          <w:sz w:val="20"/>
          <w:szCs w:val="20"/>
        </w:rPr>
      </w:pPr>
      <w:r>
        <w:rPr>
          <w:rFonts w:ascii="Verdana" w:hAnsi="Verdana"/>
          <w:sz w:val="20"/>
          <w:szCs w:val="20"/>
        </w:rPr>
      </w:r>
    </w:p>
    <w:p>
      <w:pPr>
        <w:pStyle w:val="Nivel01"/>
        <w:spacing w:lineRule="auto" w:line="240" w:before="57" w:after="57"/>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240" w:before="57" w:after="57"/>
        <w:ind w:hanging="0" w:lef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40"/>
        <w:jc w:val="center"/>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sz w:val="20"/>
          <w:szCs w:val="20"/>
        </w:rPr>
        <w:t>19. DAS SANÇÕES ADMINISTRATIVAS.</w:t>
      </w:r>
    </w:p>
    <w:p>
      <w:pPr>
        <w:pStyle w:val="ListParagraph"/>
        <w:spacing w:lineRule="auto" w:line="240" w:before="57" w:after="57"/>
        <w:ind w:hanging="0" w:left="0"/>
        <w:contextualSpacing w:val="false"/>
        <w:jc w:val="both"/>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19.1.1 D</w:t>
      </w:r>
      <w:bookmarkStart w:id="15"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5"/>
    </w:p>
    <w:p>
      <w:pPr>
        <w:pStyle w:val="Normal"/>
        <w:tabs>
          <w:tab w:val="clear" w:pos="720"/>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 xml:space="preserve">19.1.2 </w:t>
      </w:r>
      <w:bookmarkStart w:id="16" w:name="_Ref114668108"/>
      <w:r>
        <w:rPr>
          <w:rFonts w:cs="Arial" w:ascii="Verdana" w:hAnsi="Verdana"/>
          <w:sz w:val="20"/>
          <w:szCs w:val="20"/>
          <w:shd w:fill="FFFFFF" w:val="clear"/>
        </w:rPr>
        <w:t>Salvo em decorrência de fato superveniente devidamente justificado, não mantiver a proposta em especial quando:</w:t>
      </w:r>
      <w:bookmarkEnd w:id="16"/>
    </w:p>
    <w:p>
      <w:pPr>
        <w:pStyle w:val="Normal"/>
        <w:tabs>
          <w:tab w:val="clear" w:pos="720"/>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19.1.2.1 Não enviar a proposta adequada ao último lance ofertado ou após a negociação;</w:t>
      </w:r>
    </w:p>
    <w:p>
      <w:pPr>
        <w:pStyle w:val="Normal"/>
        <w:tabs>
          <w:tab w:val="clear" w:pos="720"/>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19.1.2.2 Recusar-se a enviar o detalhamento da proposta quando exigível;</w:t>
      </w:r>
    </w:p>
    <w:p>
      <w:pPr>
        <w:pStyle w:val="Normal"/>
        <w:tabs>
          <w:tab w:val="clear" w:pos="720"/>
          <w:tab w:val="left" w:pos="850" w:leader="none"/>
          <w:tab w:val="left" w:pos="1440" w:leader="none"/>
        </w:tabs>
        <w:snapToGrid w:val="false"/>
        <w:spacing w:lineRule="auto" w:line="240" w:before="57" w:after="57"/>
        <w:jc w:val="both"/>
        <w:rPr/>
      </w:pPr>
      <w:r>
        <w:rPr>
          <w:rFonts w:cs="Arial" w:ascii="Verdana" w:hAnsi="Verdana"/>
          <w:sz w:val="20"/>
          <w:szCs w:val="20"/>
        </w:rPr>
        <w:t xml:space="preserve">19.1.2.3 Pedir para ser desclassificado quando encerrada a etapa competitiva; ou </w:t>
      </w:r>
    </w:p>
    <w:p>
      <w:pPr>
        <w:pStyle w:val="Normal"/>
        <w:tabs>
          <w:tab w:val="clear" w:pos="720"/>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19.1.2.4 Deixar de apresentar amostra;</w:t>
      </w:r>
    </w:p>
    <w:p>
      <w:pPr>
        <w:pStyle w:val="Normal"/>
        <w:tabs>
          <w:tab w:val="clear" w:pos="720"/>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19.1.2.5 Apresentar proposta ou amostra em desacordo com as especificações do edital;</w:t>
      </w:r>
    </w:p>
    <w:p>
      <w:pPr>
        <w:pStyle w:val="Normal"/>
        <w:tabs>
          <w:tab w:val="clear" w:pos="720"/>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19.1.3 Não celebrar o contrato ou não entregar documentação exigida para a contratação quando convocado dentro do prazo de validade de sua proposta;</w:t>
      </w:r>
    </w:p>
    <w:p>
      <w:pPr>
        <w:pStyle w:val="Normal"/>
        <w:spacing w:lineRule="auto" w:line="240" w:before="57" w:after="57"/>
        <w:jc w:val="both"/>
        <w:rPr/>
      </w:pPr>
      <w:r>
        <w:rPr>
          <w:rFonts w:cs="Arial" w:ascii="Verdana" w:hAnsi="Verdana"/>
          <w:sz w:val="20"/>
          <w:szCs w:val="20"/>
          <w:shd w:fill="FFFFFF" w:val="clear"/>
        </w:rPr>
        <w:t>19.1.3.1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pPr>
      <w:r>
        <w:rPr>
          <w:rFonts w:ascii="Verdana" w:hAnsi="Verdana"/>
          <w:sz w:val="20"/>
          <w:szCs w:val="20"/>
        </w:rPr>
        <w:t>19.1.4 A</w:t>
      </w:r>
      <w:bookmarkStart w:id="17" w:name="_Ref114668249"/>
      <w:r>
        <w:rPr>
          <w:rFonts w:ascii="Verdana" w:hAnsi="Verdana"/>
          <w:sz w:val="20"/>
          <w:szCs w:val="20"/>
        </w:rPr>
        <w:t>presentar declaração ou documentação falsa exigida para o certame ou prestar declaração falsa durante a licitação</w:t>
      </w:r>
      <w:bookmarkEnd w:id="17"/>
    </w:p>
    <w:p>
      <w:pPr>
        <w:pStyle w:val="Normal"/>
        <w:spacing w:lineRule="auto" w:line="240" w:before="57" w:after="57"/>
        <w:jc w:val="both"/>
        <w:rPr/>
      </w:pPr>
      <w:r>
        <w:rPr>
          <w:rFonts w:ascii="Verdana" w:hAnsi="Verdana"/>
          <w:sz w:val="20"/>
          <w:szCs w:val="20"/>
        </w:rPr>
        <w:t>19.1.5 F</w:t>
      </w:r>
      <w:bookmarkStart w:id="18" w:name="_Ref114668245"/>
      <w:r>
        <w:rPr>
          <w:rFonts w:ascii="Verdana" w:hAnsi="Verdana"/>
          <w:sz w:val="20"/>
          <w:szCs w:val="20"/>
        </w:rPr>
        <w:t>raudar a licitação</w:t>
      </w:r>
      <w:bookmarkEnd w:id="18"/>
    </w:p>
    <w:p>
      <w:pPr>
        <w:pStyle w:val="Normal"/>
        <w:spacing w:lineRule="auto" w:line="240" w:before="57" w:after="57"/>
        <w:jc w:val="both"/>
        <w:rPr/>
      </w:pPr>
      <w:r>
        <w:rPr>
          <w:rFonts w:ascii="Verdana" w:hAnsi="Verdana"/>
          <w:sz w:val="20"/>
          <w:szCs w:val="20"/>
        </w:rPr>
        <w:t>19.1.6 C</w:t>
      </w:r>
      <w:bookmarkStart w:id="19" w:name="_Ref114668247"/>
      <w:r>
        <w:rPr>
          <w:rFonts w:ascii="Verdana" w:hAnsi="Verdana"/>
          <w:sz w:val="20"/>
          <w:szCs w:val="20"/>
        </w:rPr>
        <w:t>omportar-se de modo inidôneo ou cometer fraude de qualquer natureza, em especial quando:</w:t>
      </w:r>
      <w:bookmarkEnd w:id="19"/>
    </w:p>
    <w:p>
      <w:pPr>
        <w:pStyle w:val="Normal"/>
        <w:spacing w:lineRule="auto" w:line="240" w:before="57" w:after="57"/>
        <w:jc w:val="both"/>
        <w:rPr/>
      </w:pPr>
      <w:r>
        <w:rPr>
          <w:rFonts w:ascii="Verdana" w:hAnsi="Verdana"/>
          <w:sz w:val="20"/>
          <w:szCs w:val="20"/>
        </w:rPr>
        <w:t>19.1.6.1 Agir em conluio ou em desconformidade com a lei;</w:t>
      </w:r>
    </w:p>
    <w:p>
      <w:pPr>
        <w:pStyle w:val="Normal"/>
        <w:spacing w:lineRule="auto" w:line="240" w:before="57" w:after="57"/>
        <w:jc w:val="both"/>
        <w:rPr/>
      </w:pPr>
      <w:r>
        <w:rPr>
          <w:rFonts w:ascii="Verdana" w:hAnsi="Verdana"/>
          <w:sz w:val="20"/>
          <w:szCs w:val="20"/>
        </w:rPr>
        <w:t>19.1.6.2 Induzir deliberadamente a erro no julgamento;</w:t>
      </w:r>
    </w:p>
    <w:p>
      <w:pPr>
        <w:pStyle w:val="Normal"/>
        <w:spacing w:lineRule="auto" w:line="240" w:before="57" w:after="57"/>
        <w:jc w:val="both"/>
        <w:rPr/>
      </w:pPr>
      <w:r>
        <w:rPr>
          <w:rFonts w:ascii="Verdana" w:hAnsi="Verdana"/>
          <w:sz w:val="20"/>
          <w:szCs w:val="20"/>
        </w:rPr>
        <w:t>19.1.6.3 Apresentar amostra falsificada ou deteriorada;</w:t>
      </w:r>
    </w:p>
    <w:p>
      <w:pPr>
        <w:pStyle w:val="Normal"/>
        <w:spacing w:lineRule="auto" w:line="240" w:before="57" w:after="57"/>
        <w:jc w:val="both"/>
        <w:rPr/>
      </w:pPr>
      <w:r>
        <w:rPr>
          <w:rFonts w:ascii="Verdana" w:hAnsi="Verdana"/>
          <w:sz w:val="20"/>
          <w:szCs w:val="20"/>
        </w:rPr>
        <w:t>19.1.7 P</w:t>
      </w:r>
      <w:bookmarkStart w:id="20" w:name="_Ref114668251"/>
      <w:r>
        <w:rPr>
          <w:rFonts w:ascii="Verdana" w:hAnsi="Verdana"/>
          <w:sz w:val="20"/>
          <w:szCs w:val="20"/>
        </w:rPr>
        <w:t>raticar atos ilícitos com vistas a frustrar os objetivos da licitação</w:t>
      </w:r>
      <w:bookmarkEnd w:id="20"/>
    </w:p>
    <w:p>
      <w:pPr>
        <w:pStyle w:val="Normal"/>
        <w:spacing w:lineRule="auto" w:line="240" w:before="57" w:after="57"/>
        <w:jc w:val="both"/>
        <w:rPr/>
      </w:pPr>
      <w:r>
        <w:rPr>
          <w:rFonts w:ascii="Verdana" w:hAnsi="Verdana"/>
          <w:sz w:val="20"/>
          <w:szCs w:val="20"/>
        </w:rPr>
        <w:t>19.1.8 P</w:t>
      </w:r>
      <w:bookmarkStart w:id="21" w:name="_Ref114668252"/>
      <w:r>
        <w:rPr>
          <w:rFonts w:ascii="Verdana" w:hAnsi="Verdana"/>
          <w:sz w:val="20"/>
          <w:szCs w:val="20"/>
        </w:rPr>
        <w:t xml:space="preserve">raticar ato lesivo previsto no </w:t>
      </w:r>
      <w:r>
        <w:fldChar w:fldCharType="begin"/>
      </w:r>
      <w:r>
        <w:rPr>
          <w:rStyle w:val="ListLabel186"/>
          <w:sz w:val="20"/>
          <w:szCs w:val="20"/>
          <w:rFonts w:ascii="Verdana" w:hAnsi="Verdana"/>
          <w:color w:val="000000"/>
        </w:rPr>
        <w:instrText xml:space="preserve"> HYPERLINK "https://www.planalto.gov.br/ccivil_03/_ato2011-2014/2013/lei/l12846.htm" \l "art5"</w:instrText>
      </w:r>
      <w:r>
        <w:rPr>
          <w:rStyle w:val="ListLabel186"/>
          <w:sz w:val="20"/>
          <w:szCs w:val="20"/>
          <w:rFonts w:ascii="Verdana" w:hAnsi="Verdana"/>
          <w:color w:val="000000"/>
        </w:rPr>
        <w:fldChar w:fldCharType="separate"/>
      </w:r>
      <w:r>
        <w:rPr>
          <w:rStyle w:val="ListLabel186"/>
          <w:rFonts w:ascii="Verdana" w:hAnsi="Verdana"/>
          <w:color w:val="000000"/>
          <w:sz w:val="20"/>
          <w:szCs w:val="20"/>
        </w:rPr>
        <w:t>art. 5º da Lei n.º 12.846, de 2013</w:t>
      </w:r>
      <w:r>
        <w:rPr>
          <w:rStyle w:val="ListLabel186"/>
          <w:sz w:val="20"/>
          <w:szCs w:val="20"/>
          <w:rFonts w:ascii="Verdana" w:hAnsi="Verdana"/>
          <w:color w:val="000000"/>
        </w:rPr>
        <w:fldChar w:fldCharType="end"/>
      </w:r>
      <w:r>
        <w:rPr>
          <w:rFonts w:ascii="Verdana" w:hAnsi="Verdana"/>
          <w:sz w:val="20"/>
          <w:szCs w:val="20"/>
        </w:rPr>
        <w:t>.</w:t>
      </w:r>
      <w:bookmarkEnd w:id="21"/>
    </w:p>
    <w:p>
      <w:pPr>
        <w:pStyle w:val="Nivel2"/>
        <w:numPr>
          <w:ilvl w:val="0"/>
          <w:numId w:val="0"/>
        </w:numPr>
        <w:spacing w:lineRule="auto" w:line="240" w:before="57" w:after="57"/>
        <w:ind w:hanging="0" w:left="0"/>
        <w:rPr/>
      </w:pPr>
      <w:r>
        <w:rPr>
          <w:rFonts w:ascii="Verdana" w:hAnsi="Verdana"/>
          <w:sz w:val="20"/>
          <w:szCs w:val="20"/>
        </w:rPr>
        <w:t xml:space="preserve">19.2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pPr>
      <w:r>
        <w:rPr>
          <w:rFonts w:ascii="Verdana" w:hAnsi="Verdana"/>
          <w:sz w:val="20"/>
          <w:szCs w:val="20"/>
        </w:rPr>
        <w:t>19.2.1 Advertência;</w:t>
      </w:r>
    </w:p>
    <w:p>
      <w:pPr>
        <w:pStyle w:val="Nivel2"/>
        <w:numPr>
          <w:ilvl w:val="0"/>
          <w:numId w:val="0"/>
        </w:numPr>
        <w:spacing w:lineRule="auto" w:line="240" w:before="57" w:after="57"/>
        <w:ind w:hanging="0" w:left="0"/>
        <w:rPr/>
      </w:pPr>
      <w:r>
        <w:rPr>
          <w:rFonts w:ascii="Verdana" w:hAnsi="Verdana"/>
          <w:sz w:val="20"/>
          <w:szCs w:val="20"/>
        </w:rPr>
        <w:t>19.2.2 Multa;</w:t>
      </w:r>
    </w:p>
    <w:p>
      <w:pPr>
        <w:pStyle w:val="Nivel2"/>
        <w:numPr>
          <w:ilvl w:val="0"/>
          <w:numId w:val="0"/>
        </w:numPr>
        <w:spacing w:lineRule="auto" w:line="240" w:before="57" w:after="57"/>
        <w:ind w:hanging="0" w:left="0"/>
        <w:rPr/>
      </w:pPr>
      <w:r>
        <w:rPr>
          <w:rFonts w:ascii="Verdana" w:hAnsi="Verdana"/>
          <w:sz w:val="20"/>
          <w:szCs w:val="20"/>
        </w:rPr>
        <w:t>19.2.3 Impedimento de licitar e contratar e</w:t>
      </w:r>
    </w:p>
    <w:p>
      <w:pPr>
        <w:pStyle w:val="Nivel2"/>
        <w:numPr>
          <w:ilvl w:val="0"/>
          <w:numId w:val="0"/>
        </w:numPr>
        <w:spacing w:lineRule="auto" w:line="240" w:before="57" w:after="57"/>
        <w:ind w:hanging="0" w:left="0"/>
        <w:rPr/>
      </w:pPr>
      <w:r>
        <w:rPr>
          <w:rFonts w:ascii="Verdana" w:hAnsi="Verdana"/>
          <w:sz w:val="20"/>
          <w:szCs w:val="20"/>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pPr>
      <w:r>
        <w:rPr>
          <w:rFonts w:ascii="Verdana" w:hAnsi="Verdana"/>
          <w:sz w:val="20"/>
          <w:szCs w:val="20"/>
        </w:rPr>
        <w:t>19.3 Na aplicação das sanções serão considerados:</w:t>
      </w:r>
    </w:p>
    <w:p>
      <w:pPr>
        <w:pStyle w:val="Nivel2"/>
        <w:numPr>
          <w:ilvl w:val="0"/>
          <w:numId w:val="0"/>
        </w:numPr>
        <w:spacing w:lineRule="auto" w:line="240" w:before="57" w:after="57"/>
        <w:ind w:hanging="0" w:left="0"/>
        <w:rPr/>
      </w:pPr>
      <w:r>
        <w:rPr>
          <w:rFonts w:ascii="Verdana" w:hAnsi="Verdana"/>
          <w:sz w:val="20"/>
          <w:szCs w:val="20"/>
        </w:rPr>
        <w:t>19.3.1 A natureza e a gravidade da infração cometida.</w:t>
      </w:r>
    </w:p>
    <w:p>
      <w:pPr>
        <w:pStyle w:val="Nivel2"/>
        <w:numPr>
          <w:ilvl w:val="0"/>
          <w:numId w:val="0"/>
        </w:numPr>
        <w:spacing w:lineRule="auto" w:line="240" w:before="57" w:after="57"/>
        <w:ind w:hanging="0" w:left="0"/>
        <w:rPr/>
      </w:pPr>
      <w:r>
        <w:rPr>
          <w:rFonts w:ascii="Verdana" w:hAnsi="Verdana"/>
          <w:sz w:val="20"/>
          <w:szCs w:val="20"/>
        </w:rPr>
        <w:t>19.3.2 As peculiaridades do caso concreto</w:t>
      </w:r>
    </w:p>
    <w:p>
      <w:pPr>
        <w:pStyle w:val="Nivel2"/>
        <w:numPr>
          <w:ilvl w:val="0"/>
          <w:numId w:val="0"/>
        </w:numPr>
        <w:spacing w:lineRule="auto" w:line="240" w:before="57" w:after="57"/>
        <w:ind w:hanging="0" w:left="0"/>
        <w:rPr/>
      </w:pPr>
      <w:r>
        <w:rPr>
          <w:rFonts w:ascii="Verdana" w:hAnsi="Verdana"/>
          <w:sz w:val="20"/>
          <w:szCs w:val="20"/>
        </w:rPr>
        <w:t>19.3.3 As circunstâncias agravantes ou atenuantes</w:t>
      </w:r>
    </w:p>
    <w:p>
      <w:pPr>
        <w:pStyle w:val="Nivel2"/>
        <w:numPr>
          <w:ilvl w:val="0"/>
          <w:numId w:val="0"/>
        </w:numPr>
        <w:spacing w:lineRule="auto" w:line="240" w:before="57" w:after="57"/>
        <w:ind w:hanging="0" w:left="0"/>
        <w:rPr/>
      </w:pPr>
      <w:r>
        <w:rPr>
          <w:rFonts w:ascii="Verdana" w:hAnsi="Verdana"/>
          <w:sz w:val="20"/>
          <w:szCs w:val="20"/>
        </w:rPr>
        <w:t>19.3.4 Os danos que dela provierem para a Administração Pública</w:t>
      </w:r>
    </w:p>
    <w:p>
      <w:pPr>
        <w:pStyle w:val="Nivel2"/>
        <w:numPr>
          <w:ilvl w:val="0"/>
          <w:numId w:val="0"/>
        </w:numPr>
        <w:spacing w:lineRule="auto" w:line="240" w:before="57" w:after="57"/>
        <w:ind w:hanging="0" w:left="0"/>
        <w:rPr/>
      </w:pPr>
      <w:r>
        <w:rPr>
          <w:rFonts w:ascii="Verdana" w:hAnsi="Verdana"/>
          <w:sz w:val="20"/>
          <w:szCs w:val="20"/>
        </w:rPr>
        <w:t>19.3.5 A implantação ou o aperfeiçoamento de programa de integridade, conforme normas e orientações dos órgãos de controle.</w:t>
      </w:r>
    </w:p>
    <w:p>
      <w:pPr>
        <w:pStyle w:val="Nivel2"/>
        <w:numPr>
          <w:ilvl w:val="0"/>
          <w:numId w:val="0"/>
        </w:numPr>
        <w:spacing w:lineRule="auto" w:line="240" w:before="57" w:after="57"/>
        <w:ind w:hanging="0" w:left="0"/>
        <w:rPr/>
      </w:pPr>
      <w:r>
        <w:rPr>
          <w:rFonts w:ascii="Verdana" w:hAnsi="Verdana"/>
          <w:sz w:val="20"/>
          <w:szCs w:val="20"/>
        </w:rPr>
        <w:t xml:space="preserve">19.4 A multa será recolhida em percentual de 0,5% a 30% incidente sobre o valor do contrato licitado, recolhida no prazo máximo de </w:t>
      </w:r>
      <w:r>
        <w:rPr>
          <w:rFonts w:ascii="Verdana" w:hAnsi="Verdana"/>
          <w:b/>
          <w:bCs/>
          <w:color w:val="FF0000"/>
          <w:sz w:val="20"/>
          <w:szCs w:val="20"/>
        </w:rPr>
        <w:t>30 (trinta)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240" w:before="57" w:after="57"/>
        <w:ind w:hanging="0" w:left="0"/>
        <w:rPr/>
      </w:pPr>
      <w:r>
        <w:rPr>
          <w:rFonts w:ascii="Verdana" w:hAnsi="Verdana"/>
          <w:sz w:val="20"/>
          <w:szCs w:val="20"/>
        </w:rPr>
        <w:t xml:space="preserve">19.4.1 </w:t>
      </w:r>
      <w:bookmarkStart w:id="22" w:name="_Hlk113876035"/>
      <w:r>
        <w:rPr>
          <w:rFonts w:ascii="Verdana" w:hAnsi="Verdana"/>
          <w:sz w:val="20"/>
          <w:szCs w:val="20"/>
        </w:rPr>
        <w:t xml:space="preserve">Para as infrações previstas nos itens 19.1.1, 19.1.2 e 19.1.3,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22"/>
    </w:p>
    <w:p>
      <w:pPr>
        <w:pStyle w:val="Nivel2"/>
        <w:numPr>
          <w:ilvl w:val="0"/>
          <w:numId w:val="0"/>
        </w:numPr>
        <w:spacing w:lineRule="auto" w:line="240" w:before="57" w:after="57"/>
        <w:ind w:hanging="0" w:left="0"/>
        <w:rPr/>
      </w:pPr>
      <w:r>
        <w:rPr>
          <w:rFonts w:ascii="Verdana" w:hAnsi="Verdana"/>
          <w:sz w:val="20"/>
          <w:szCs w:val="20"/>
        </w:rPr>
        <w:t xml:space="preserve">19.4.2 Para as infrações previstas nos itens 19.1.4, 19.1.5, 19.1.6, 19.1.7 e 19.1.8,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ivel2"/>
        <w:numPr>
          <w:ilvl w:val="0"/>
          <w:numId w:val="0"/>
        </w:numPr>
        <w:spacing w:lineRule="auto" w:line="240" w:before="57" w:after="57"/>
        <w:ind w:hanging="0" w:left="0"/>
        <w:rPr/>
      </w:pPr>
      <w:r>
        <w:rPr>
          <w:rFonts w:ascii="Verdana" w:hAnsi="Verdana"/>
          <w:sz w:val="20"/>
          <w:szCs w:val="20"/>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pPr>
      <w:r>
        <w:rPr>
          <w:rFonts w:ascii="Verdana" w:hAnsi="Verdana"/>
          <w:sz w:val="20"/>
          <w:szCs w:val="20"/>
        </w:rPr>
        <w:t>19.6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pPr>
      <w:r>
        <w:rPr>
          <w:rFonts w:ascii="Verdana" w:hAnsi="Verdana"/>
          <w:sz w:val="20"/>
          <w:szCs w:val="20"/>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sz w:val="20"/>
          <w:szCs w:val="20"/>
        </w:rPr>
        <w:t xml:space="preserve">19.8 Poderá ser aplicada ao responsável a sanção de declaração de inidoneidade para licitar ou contratar, em decorrência da prática das infrações dispostas nos itens 19.1.4, 19.1.5, 19.1.6, 19.1.7 e 19.1.8, bem como pelas infrações administrativas previstas nos itens 19.1.1, 19.1.2 e 19.1.3 que justifiquem a imposição de penalidade mais grave que a sanção de impedimento de licitar e contratar, cuja duração observará o prazo previsto no </w:t>
      </w:r>
      <w:r>
        <w:fldChar w:fldCharType="begin"/>
      </w:r>
      <w:r>
        <w:rPr>
          <w:rStyle w:val="ListLabel186"/>
          <w:sz w:val="20"/>
          <w:szCs w:val="20"/>
          <w:rFonts w:ascii="Verdana" w:hAnsi="Verdana"/>
          <w:color w:val="000000"/>
        </w:rPr>
        <w:instrText xml:space="preserve"> HYPERLINK "http://www.planalto.gov.br/ccivil_03/_ato2019-2022/2021/lei/L14133.htm" \l "art156%C2%A75"</w:instrText>
      </w:r>
      <w:r>
        <w:rPr>
          <w:rStyle w:val="ListLabel186"/>
          <w:sz w:val="20"/>
          <w:szCs w:val="20"/>
          <w:rFonts w:ascii="Verdana" w:hAnsi="Verdana"/>
          <w:color w:val="000000"/>
        </w:rPr>
        <w:fldChar w:fldCharType="separate"/>
      </w:r>
      <w:r>
        <w:rPr>
          <w:rStyle w:val="ListLabel186"/>
          <w:rFonts w:ascii="Verdana" w:hAnsi="Verdana"/>
          <w:color w:val="000000"/>
          <w:sz w:val="20"/>
          <w:szCs w:val="20"/>
        </w:rPr>
        <w:t>art. 156, §5º, da Lei n.º 14.133/2021</w:t>
      </w:r>
      <w:r>
        <w:rPr>
          <w:rStyle w:val="ListLabel186"/>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before="57" w:after="57"/>
        <w:ind w:hanging="0" w:left="0"/>
        <w:rPr/>
      </w:pPr>
      <w:r>
        <w:rPr>
          <w:rFonts w:ascii="Verdana" w:hAnsi="Verdana"/>
          <w:sz w:val="20"/>
          <w:szCs w:val="20"/>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7">
        <w:r>
          <w:rPr>
            <w:rStyle w:val="ListLabel186"/>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before="57" w:after="57"/>
        <w:ind w:hanging="0" w:left="0"/>
        <w:rPr/>
      </w:pPr>
      <w:r>
        <w:rPr>
          <w:rFonts w:ascii="Verdana" w:hAnsi="Verdana"/>
          <w:sz w:val="20"/>
          <w:szCs w:val="20"/>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pPr>
      <w:r>
        <w:rPr>
          <w:rFonts w:ascii="Verdana" w:hAnsi="Verdana"/>
          <w:sz w:val="20"/>
          <w:szCs w:val="20"/>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pPr>
      <w:r>
        <w:rPr>
          <w:rFonts w:ascii="Verdana" w:hAnsi="Verdana"/>
          <w:sz w:val="20"/>
          <w:szCs w:val="20"/>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pPr>
      <w:r>
        <w:rPr>
          <w:rFonts w:ascii="Verdana" w:hAnsi="Verdana"/>
          <w:sz w:val="20"/>
          <w:szCs w:val="20"/>
        </w:rPr>
        <w:t>19.12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pPr>
      <w:r>
        <w:rPr>
          <w:rFonts w:cs="Arial" w:ascii="Verdana" w:hAnsi="Verdana"/>
          <w:sz w:val="20"/>
          <w:szCs w:val="20"/>
          <w:shd w:fill="FFFFFF" w:val="clear"/>
        </w:rPr>
        <w:t>19.13 A aplicação das sanções previstas neste edital não exclui, em hipótese alguma, a obrigação de reparação integral dos danos causados.</w:t>
      </w:r>
    </w:p>
    <w:p>
      <w:pPr>
        <w:pStyle w:val="Normal"/>
        <w:spacing w:lineRule="auto" w:line="240"/>
        <w:jc w:val="center"/>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sz w:val="20"/>
          <w:szCs w:val="20"/>
        </w:rPr>
        <w:t>20. DA IMPUGNAÇÃO AO EDITAL E DO PEDIDO DE ESCLARECIMENTO</w:t>
      </w:r>
    </w:p>
    <w:p>
      <w:pPr>
        <w:pStyle w:val="ListParagraph"/>
        <w:spacing w:lineRule="auto" w:line="240" w:before="57" w:after="57"/>
        <w:ind w:hanging="0" w:left="0"/>
        <w:contextualSpacing w:val="false"/>
        <w:jc w:val="both"/>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20.2 A impugnação poderá ser realizada por forma eletrônica, pelo e-mail </w:t>
      </w:r>
      <w:hyperlink r:id="rId8">
        <w:r>
          <w:rPr>
            <w:rStyle w:val="ListLabel18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hanging="0" w:left="0"/>
        <w:contextualSpacing w:val="false"/>
        <w:jc w:val="both"/>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hanging="0" w:left="0"/>
        <w:contextualSpacing w:val="false"/>
        <w:jc w:val="both"/>
        <w:rPr/>
      </w:pPr>
      <w:r>
        <w:rPr>
          <w:rFonts w:cs="Arial" w:ascii="Verdana" w:hAnsi="Verdana"/>
          <w:color w:val="000000"/>
          <w:sz w:val="20"/>
          <w:szCs w:val="20"/>
        </w:rPr>
        <w:t>20.4 Acolhida a impugnação, será definida e publicada nova data para a realização do certame.</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hanging="0" w:left="0"/>
        <w:contextualSpacing w:val="false"/>
        <w:jc w:val="both"/>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hanging="0" w:left="0"/>
        <w:contextualSpacing w:val="false"/>
        <w:jc w:val="both"/>
        <w:rPr/>
      </w:pPr>
      <w:r>
        <w:rPr>
          <w:rFonts w:cs="Arial" w:ascii="Verdana" w:hAnsi="Verdana"/>
          <w:color w:val="000000"/>
          <w:sz w:val="20"/>
          <w:szCs w:val="20"/>
        </w:rPr>
        <w:t>20.7 As impugnações e pedidos de esclarecimentos não suspendem os prazos previstos no certame.</w:t>
      </w:r>
    </w:p>
    <w:p>
      <w:pPr>
        <w:pStyle w:val="ListParagraph"/>
        <w:spacing w:lineRule="auto" w:line="240" w:before="57" w:after="57"/>
        <w:ind w:hanging="0" w:left="0"/>
        <w:contextualSpacing w:val="false"/>
        <w:jc w:val="both"/>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lineRule="auto" w:line="240" w:before="57" w:after="57"/>
        <w:ind w:hanging="0" w:left="0"/>
        <w:contextualSpacing w:val="false"/>
        <w:jc w:val="both"/>
        <w:rPr/>
      </w:pPr>
      <w:r>
        <w:rPr>
          <w:rFonts w:cs="Arial" w:ascii="Verdana" w:hAnsi="Verdana"/>
          <w:color w:val="000000"/>
          <w:sz w:val="20"/>
          <w:szCs w:val="20"/>
        </w:rPr>
        <w:t>20.9 As respostas aos pedidos de esclarecimentos serão divulgadas pelo sistema e vincularão os participantes e a administração.</w:t>
      </w:r>
    </w:p>
    <w:p>
      <w:pPr>
        <w:pStyle w:val="Normal"/>
        <w:spacing w:lineRule="auto" w:line="240"/>
        <w:jc w:val="center"/>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sz w:val="20"/>
          <w:szCs w:val="20"/>
        </w:rPr>
        <w:t>21. DAS DISPOSIÇÕES GERAIS</w:t>
      </w:r>
    </w:p>
    <w:p>
      <w:pPr>
        <w:pStyle w:val="Normal"/>
        <w:spacing w:lineRule="auto" w:line="240" w:before="57" w:after="57"/>
        <w:jc w:val="both"/>
        <w:rPr/>
      </w:pPr>
      <w:r>
        <w:rPr>
          <w:rFonts w:cs="Arial" w:ascii="Verdana" w:hAnsi="Verdana"/>
          <w:color w:val="000000"/>
          <w:sz w:val="20"/>
          <w:szCs w:val="20"/>
        </w:rPr>
        <w:t>21.1 Da sessão pública do Pregão divulgar-se-á Ata no sistema eletrônico.</w:t>
      </w:r>
    </w:p>
    <w:p>
      <w:pPr>
        <w:pStyle w:val="Normal"/>
        <w:spacing w:lineRule="auto" w:line="240" w:before="57" w:after="57"/>
        <w:jc w:val="both"/>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lineRule="auto" w:line="240" w:before="57" w:after="57"/>
        <w:jc w:val="both"/>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pPr>
      <w:r>
        <w:rPr>
          <w:rFonts w:cs="Arial" w:ascii="Verdana" w:hAnsi="Verdana"/>
          <w:color w:val="000000"/>
          <w:sz w:val="20"/>
          <w:szCs w:val="20"/>
        </w:rPr>
        <w:t>21.5 A homologação do resultado desta licitação não implicará direito à contratação.</w:t>
      </w:r>
    </w:p>
    <w:p>
      <w:pPr>
        <w:pStyle w:val="Normal"/>
        <w:spacing w:lineRule="auto" w:line="240" w:before="57" w:after="57"/>
        <w:jc w:val="both"/>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21.11 O Edital está disponibilizado, na íntegra, no endereço eletrônico </w:t>
      </w:r>
      <w:r>
        <w:rPr>
          <w:rFonts w:cs="Arial" w:ascii="Verdana" w:hAnsi="Verdana"/>
          <w:sz w:val="20"/>
          <w:szCs w:val="20"/>
          <w:u w:val="single"/>
        </w:rPr>
        <w:t>http://</w:t>
      </w:r>
      <w:bookmarkStart w:id="23" w:name="_Hlk123138684_Copia_3"/>
      <w:r>
        <w:rPr>
          <w:rFonts w:cs="Arial" w:ascii="Verdana" w:hAnsi="Verdana"/>
          <w:color w:val="000000"/>
          <w:sz w:val="20"/>
          <w:szCs w:val="20"/>
          <w:u w:val="single"/>
        </w:rPr>
        <w:t>www.portaldecompraspublicas.com.br</w:t>
      </w:r>
      <w:bookmarkEnd w:id="23"/>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9">
        <w:r>
          <w:rPr>
            <w:rStyle w:val="ListLabel184"/>
            <w:rFonts w:ascii="Verdana" w:hAnsi="Verdana"/>
            <w:color w:val="000080"/>
            <w:sz w:val="20"/>
            <w:szCs w:val="20"/>
            <w:u w:val="single"/>
          </w:rPr>
          <w:t>licitacao@</w:t>
        </w:r>
      </w:hyperlink>
      <w:hyperlink r:id="rId10">
        <w:r>
          <w:rPr>
            <w:rStyle w:val="ListLabel184"/>
            <w:rFonts w:ascii="Verdana" w:hAnsi="Verdana"/>
            <w:color w:val="000080"/>
            <w:sz w:val="20"/>
            <w:szCs w:val="20"/>
            <w:u w:val="single"/>
          </w:rPr>
          <w:t>saogabriel</w:t>
        </w:r>
      </w:hyperlink>
      <w:hyperlink r:id="rId11">
        <w:r>
          <w:rPr>
            <w:rStyle w:val="ListLabel18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40" w:before="57" w:after="57"/>
        <w:jc w:val="both"/>
        <w:rPr/>
      </w:pPr>
      <w:r>
        <w:rPr>
          <w:rFonts w:cs="Arial" w:ascii="Verdana" w:hAnsi="Verdana"/>
          <w:color w:val="000000"/>
          <w:sz w:val="20"/>
          <w:szCs w:val="20"/>
        </w:rPr>
        <w:t>21.12 Integram este Edital, para todos os fins e efeitos, os seguintes anexos</w:t>
      </w:r>
    </w:p>
    <w:p>
      <w:pPr>
        <w:pStyle w:val="Normal"/>
        <w:spacing w:lineRule="auto" w:line="240" w:before="57" w:after="57"/>
        <w:jc w:val="both"/>
        <w:rPr/>
      </w:pPr>
      <w:r>
        <w:rPr>
          <w:rFonts w:cs="Arial" w:ascii="Verdana" w:hAnsi="Verdana"/>
          <w:color w:val="000000"/>
          <w:sz w:val="20"/>
          <w:szCs w:val="20"/>
        </w:rPr>
        <w:t>21.12.1 ANEXO I – Termo de Referência;</w:t>
      </w:r>
    </w:p>
    <w:p>
      <w:pPr>
        <w:pStyle w:val="Normal"/>
        <w:spacing w:lineRule="auto" w:line="240" w:before="57" w:after="57"/>
        <w:jc w:val="both"/>
        <w:rPr/>
      </w:pPr>
      <w:r>
        <w:rPr>
          <w:rFonts w:cs="Arial" w:ascii="Verdana" w:hAnsi="Verdana"/>
          <w:color w:val="000000"/>
          <w:sz w:val="20"/>
          <w:szCs w:val="20"/>
        </w:rPr>
        <w:t>21.12.2 ANEXO I-1 – Estudo Técnico Preliminar;</w:t>
      </w:r>
    </w:p>
    <w:p>
      <w:pPr>
        <w:pStyle w:val="Normal"/>
        <w:tabs>
          <w:tab w:val="clear" w:pos="720"/>
          <w:tab w:val="left" w:pos="800" w:leader="none"/>
        </w:tabs>
        <w:snapToGrid w:val="false"/>
        <w:spacing w:lineRule="auto" w:line="240" w:before="57" w:after="57"/>
        <w:jc w:val="both"/>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spacing w:lineRule="auto" w:line="240" w:before="57" w:after="57"/>
        <w:jc w:val="both"/>
        <w:rPr/>
      </w:pPr>
      <w:r>
        <w:rPr>
          <w:rFonts w:cs="Arial" w:ascii="Verdana" w:hAnsi="Verdana"/>
          <w:color w:val="000000"/>
          <w:sz w:val="20"/>
          <w:szCs w:val="20"/>
        </w:rPr>
        <w:t>21.12.3 ANEXO III – Minuta de Contrato;</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40" w:before="57" w:after="57"/>
        <w:ind w:hanging="0" w:left="360"/>
        <w:jc w:val="center"/>
        <w:outlineLvl w:val="0"/>
        <w:rPr/>
      </w:pPr>
      <w:r>
        <w:rPr>
          <w:rFonts w:cs="Arial" w:ascii="Verdana" w:hAnsi="Verdana"/>
          <w:color w:val="000000"/>
          <w:sz w:val="20"/>
          <w:szCs w:val="20"/>
        </w:rPr>
        <w:t>São Gabriel da Palha/ES, 21 de agosto de 2025.</w:t>
      </w:r>
    </w:p>
    <w:p>
      <w:pPr>
        <w:pStyle w:val="Normal"/>
        <w:tabs>
          <w:tab w:val="clear" w:pos="720"/>
          <w:tab w:val="left" w:pos="1440" w:leader="none"/>
        </w:tabs>
        <w:snapToGrid w:val="false"/>
        <w:spacing w:lineRule="auto" w:line="240" w:before="57" w:after="57"/>
        <w:ind w:hanging="0" w:left="1638"/>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40" w:before="57" w:after="57"/>
        <w:ind w:hanging="0" w:left="1638"/>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40" w:before="57" w:after="57"/>
        <w:ind w:hanging="0" w:left="0"/>
        <w:jc w:val="center"/>
        <w:outlineLvl w:val="0"/>
        <w:rPr/>
      </w:pPr>
      <w:r>
        <w:rPr>
          <w:rFonts w:eastAsia="" w:cs="Arial" w:ascii="Verdana" w:hAnsi="Verdana" w:eastAsiaTheme="majorEastAsia"/>
          <w:b/>
          <w:bCs/>
          <w:color w:val="000000"/>
          <w:sz w:val="20"/>
          <w:szCs w:val="20"/>
        </w:rPr>
        <w:t>JOSÉ LUIZ VIAL</w:t>
      </w:r>
    </w:p>
    <w:p>
      <w:pPr>
        <w:pStyle w:val="Normal"/>
        <w:keepNext w:val="true"/>
        <w:keepLines/>
        <w:numPr>
          <w:ilvl w:val="0"/>
          <w:numId w:val="0"/>
        </w:numPr>
        <w:tabs>
          <w:tab w:val="clear" w:pos="720"/>
          <w:tab w:val="left" w:pos="567" w:leader="none"/>
        </w:tabs>
        <w:spacing w:lineRule="auto" w:line="240" w:before="57" w:after="57"/>
        <w:ind w:hanging="0" w:left="360"/>
        <w:jc w:val="center"/>
        <w:outlineLvl w:val="0"/>
        <w:rPr/>
      </w:pPr>
      <w:r>
        <w:rPr>
          <w:rFonts w:eastAsia="" w:cs="Arial" w:ascii="Verdana" w:hAnsi="Verdana" w:eastAsiaTheme="majorEastAsia"/>
          <w:b/>
          <w:bCs/>
          <w:color w:val="000000"/>
          <w:sz w:val="20"/>
          <w:szCs w:val="20"/>
        </w:rPr>
        <w:t>Secretário Municipal de Esporte e Lazer</w:t>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367" w:right="872" w:gutter="0" w:header="517" w:top="1767" w:footer="159" w:bottom="78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mailto:licitacao@saogabriel.es.gov.br"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2522</TotalTime>
  <Application>LibreOffice/24.2.6.2$Windows_X86_64 LibreOffice_project/ef66aa7e36a1bb8e65bfbc63aba53045a14d0871</Application>
  <AppVersion>15.0000</AppVersion>
  <Pages>17</Pages>
  <Words>9426</Words>
  <Characters>53276</Characters>
  <CharactersWithSpaces>62317</CharactersWithSpaces>
  <Paragraphs>345</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2025-08-21T16:24:45Z</cp:lastPrinted>
  <dcterms:modified xsi:type="dcterms:W3CDTF">2025-09-03T16:44:46Z</dcterms:modified>
  <cp:revision>138</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